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2749D119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21395ED4" w:rsidR="21395ED4">
        <w:rPr>
          <w:rFonts w:ascii="Garamond" w:hAnsi="Garamond"/>
          <w:b w:val="1"/>
          <w:bCs w:val="1"/>
          <w:sz w:val="24"/>
          <w:szCs w:val="24"/>
          <w:u w:val="single"/>
        </w:rPr>
        <w:t>Monday 2</w:t>
      </w:r>
      <w:r w:rsidRPr="21395ED4" w:rsidR="21395ED4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nd</w:t>
      </w:r>
      <w:r w:rsidRPr="21395ED4" w:rsidR="21395ED4">
        <w:rPr>
          <w:rFonts w:ascii="Garamond" w:hAnsi="Garamond"/>
          <w:b w:val="1"/>
          <w:bCs w:val="1"/>
          <w:sz w:val="24"/>
          <w:szCs w:val="24"/>
          <w:u w:val="single"/>
        </w:rPr>
        <w:t xml:space="preserve"> October 2023, 7.30pm</w:t>
      </w:r>
    </w:p>
    <w:p w:rsidRPr="00417E59" w:rsidR="00F377F0" w:rsidP="00F377F0" w:rsidRDefault="00F377F0" w14:paraId="3D421B0C" w14:textId="7A0483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:rsidR="00F377F0" w:rsidP="00A21E75" w:rsidRDefault="00CA30C9" w14:paraId="3060E5B7" w14:textId="77777777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:rsidRPr="0086024C" w:rsidR="00F377F0" w:rsidP="26D1B1A7" w:rsidRDefault="00F377F0" w14:paraId="7B79DFF7" w14:textId="449AEE31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21395ED4" w:rsidR="21395ED4">
        <w:rPr>
          <w:rFonts w:ascii="Garamond" w:hAnsi="Garamond"/>
          <w:sz w:val="24"/>
          <w:szCs w:val="24"/>
        </w:rPr>
        <w:t>CHAIRMAN</w:t>
      </w:r>
      <w:bookmarkEnd w:id="1178835626"/>
      <w:r w:rsidRPr="21395ED4" w:rsidR="21395ED4">
        <w:rPr>
          <w:rFonts w:ascii="Garamond" w:hAnsi="Garamond"/>
          <w:sz w:val="24"/>
          <w:szCs w:val="24"/>
        </w:rPr>
        <w:t>: Councillor Anthony Granville-Fall</w:t>
      </w:r>
    </w:p>
    <w:p w:rsidR="00F377F0" w:rsidP="00A21E75" w:rsidRDefault="00F377F0" w14:paraId="6F27E86A" w14:textId="68394ED5">
      <w:pPr>
        <w:rPr>
          <w:rFonts w:ascii="Garamond" w:hAnsi="Garamond"/>
          <w:sz w:val="24"/>
          <w:szCs w:val="24"/>
        </w:rPr>
      </w:pPr>
      <w:r w:rsidRPr="21395ED4" w:rsidR="21395ED4">
        <w:rPr>
          <w:rFonts w:ascii="Garamond" w:hAnsi="Garamond"/>
          <w:sz w:val="24"/>
          <w:szCs w:val="24"/>
        </w:rPr>
        <w:t xml:space="preserve">COUNCILLORS: Diane Campkin, Lewis Clark, Charlotte Dixon, Janette Hayes, Brenda Taylor, and Frank Wilson. </w:t>
      </w:r>
    </w:p>
    <w:p w:rsidR="6778AAAA" w:rsidP="6778AAAA" w:rsidRDefault="6778AAAA" w14:paraId="29789C61" w14:textId="7E6919BE">
      <w:pPr>
        <w:pStyle w:val="Normal"/>
        <w:rPr>
          <w:rFonts w:ascii="Garamond" w:hAnsi="Garamond"/>
          <w:sz w:val="24"/>
          <w:szCs w:val="24"/>
        </w:rPr>
      </w:pPr>
      <w:r w:rsidRPr="21395ED4" w:rsidR="21395ED4">
        <w:rPr>
          <w:rFonts w:ascii="Garamond" w:hAnsi="Garamond"/>
          <w:sz w:val="24"/>
          <w:szCs w:val="24"/>
        </w:rPr>
        <w:t>WARD MEMBERS: Leo Hammond and Derek Cary.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80" w:firstRow="0" w:lastRow="0" w:firstColumn="1" w:lastColumn="0" w:noHBand="0" w:noVBand="1"/>
      </w:tblPr>
      <w:tblGrid>
        <w:gridCol w:w="930"/>
        <w:gridCol w:w="8842"/>
      </w:tblGrid>
      <w:tr w:rsidRPr="00417E59" w:rsidR="00A21E75" w:rsidTr="4FFB2E20" w14:paraId="1788CBF8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006000B" w:rsidRDefault="00A21E75" w14:paraId="6CBBFCB9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842" w:type="dxa"/>
            <w:tcMar/>
          </w:tcPr>
          <w:p w:rsidRPr="00F30B23" w:rsidR="00C226A4" w:rsidP="6778AAAA" w:rsidRDefault="0093532B" w14:paraId="1FEA2194" w14:textId="018954DB">
            <w:pPr>
              <w:rPr>
                <w:rFonts w:ascii="Garamond" w:hAnsi="Garamond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There were no members of the public in attendance at the meeting. </w:t>
            </w:r>
          </w:p>
          <w:p w:rsidRPr="00F30B23" w:rsidR="00C226A4" w:rsidP="6778AAAA" w:rsidRDefault="0093532B" w14:paraId="305066E9" w14:textId="6370781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4FFB2E20" w14:paraId="4F8195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8842" w:type="dxa"/>
            <w:tcMar/>
          </w:tcPr>
          <w:p w:rsidRPr="00417E59" w:rsidR="00747748" w:rsidP="6778AAAA" w:rsidRDefault="00747748" w14:paraId="7449D51C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Pr="00417E59" w:rsidR="00A21E75" w:rsidTr="4FFB2E20" w14:paraId="00F89772" w14:textId="77777777">
        <w:trPr>
          <w:trHeight w:val="288"/>
        </w:trPr>
        <w:tc>
          <w:tcPr>
            <w:tcW w:w="930" w:type="dxa"/>
            <w:tcMar/>
          </w:tcPr>
          <w:p w:rsidRPr="00417E59" w:rsidR="00A21E75" w:rsidP="26D1B1A7" w:rsidRDefault="004C148C" w14:paraId="394D3835" w14:textId="1418B17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105/23</w:t>
            </w:r>
          </w:p>
        </w:tc>
        <w:tc>
          <w:tcPr>
            <w:tcW w:w="8842" w:type="dxa"/>
            <w:tcMar/>
          </w:tcPr>
          <w:p w:rsidRPr="00417E59" w:rsidR="00A21E75" w:rsidP="00A21E75" w:rsidRDefault="009F4533" w14:paraId="62720E09" w14:textId="7777777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Pr="00417E59" w:rsidR="00AC6E11" w:rsidP="00A21E75" w:rsidRDefault="00AC6E11" w14:paraId="4C9165BB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4FFB2E20" w14:paraId="48E4D6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26D1B1A7" w:rsidRDefault="004C148C" w14:paraId="5BD6A217" w14:textId="3FF97E4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106/23</w:t>
            </w:r>
          </w:p>
        </w:tc>
        <w:tc>
          <w:tcPr>
            <w:tcW w:w="8842" w:type="dxa"/>
            <w:tcMar/>
          </w:tcPr>
          <w:p w:rsidR="00A21E75" w:rsidP="00573DF9" w:rsidRDefault="002D2E13" w14:paraId="5415369B" w14:textId="06F1471F">
            <w:pPr>
              <w:rPr>
                <w:rFonts w:ascii="Garamond" w:hAnsi="Garamond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 – Apologies were received and accepted from Councillors Holroyd, Jakeman and Smith</w:t>
            </w:r>
          </w:p>
          <w:p w:rsidRPr="00417E59" w:rsidR="00AC6E11" w:rsidP="00EB03F2" w:rsidRDefault="00AC6E11" w14:paraId="4CDCACFA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4FFB2E20" w14:paraId="50C4C1CA" w14:textId="77777777">
        <w:trPr>
          <w:trHeight w:val="386"/>
        </w:trPr>
        <w:tc>
          <w:tcPr>
            <w:tcW w:w="930" w:type="dxa"/>
            <w:tcMar/>
          </w:tcPr>
          <w:p w:rsidRPr="00417E59" w:rsidR="00A21E75" w:rsidP="26D1B1A7" w:rsidRDefault="004C148C" w14:paraId="0E01F042" w14:textId="47BBE6A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107/23</w:t>
            </w:r>
          </w:p>
        </w:tc>
        <w:tc>
          <w:tcPr>
            <w:tcW w:w="8842" w:type="dxa"/>
            <w:tcMar/>
          </w:tcPr>
          <w:p w:rsidR="0086024C" w:rsidP="00E34888" w:rsidRDefault="008A648D" w14:paraId="21483EDF" w14:textId="3537B094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– There were no declarations of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interest.</w:t>
            </w:r>
          </w:p>
          <w:p w:rsidRPr="00417E59" w:rsidR="0086024C" w:rsidP="00E34888" w:rsidRDefault="0086024C" w14:paraId="4A94FD43" w14:textId="18F59B0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4FFB2E20" w14:paraId="22573A22" w14:textId="77777777">
        <w:trPr>
          <w:trHeight w:val="288"/>
        </w:trPr>
        <w:tc>
          <w:tcPr>
            <w:tcW w:w="930" w:type="dxa"/>
            <w:tcMar/>
          </w:tcPr>
          <w:p w:rsidRPr="00DD5148" w:rsidR="00A21E75" w:rsidP="26D1B1A7" w:rsidRDefault="004C148C" w14:paraId="274B430B" w14:textId="6EF2C7D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108/23</w:t>
            </w:r>
          </w:p>
        </w:tc>
        <w:tc>
          <w:tcPr>
            <w:tcW w:w="8842" w:type="dxa"/>
            <w:tcMar/>
          </w:tcPr>
          <w:p w:rsidRPr="006A027D" w:rsidR="009950D9" w:rsidP="009950D9" w:rsidRDefault="008A648D" w14:paraId="7759082A" w14:textId="5722994D">
            <w:pPr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21395ED4" w:rsidRDefault="00AC3980" w14:paraId="50C7F6E3" w14:textId="451BD814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It was agreed that the Clerk would circulate the proposed design code.</w:t>
            </w:r>
          </w:p>
        </w:tc>
      </w:tr>
      <w:tr w:rsidRPr="00A236E1" w:rsidR="00A21E75" w:rsidTr="4FFB2E20" w14:paraId="72838761" w14:textId="77777777">
        <w:trPr>
          <w:trHeight w:val="273"/>
        </w:trPr>
        <w:tc>
          <w:tcPr>
            <w:tcW w:w="930" w:type="dxa"/>
            <w:tcMar/>
          </w:tcPr>
          <w:p w:rsidRPr="00DD5148" w:rsidR="00A21E75" w:rsidP="26D1B1A7" w:rsidRDefault="004C148C" w14:paraId="075DF1C3" w14:textId="5D0E60E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109/23</w:t>
            </w:r>
          </w:p>
        </w:tc>
        <w:tc>
          <w:tcPr>
            <w:tcW w:w="8842" w:type="dxa"/>
            <w:tcMar/>
          </w:tcPr>
          <w:p w:rsidR="00D83413" w:rsidP="000A0274" w:rsidRDefault="008A648D" w14:paraId="0161FF05" w14:textId="21060EF2">
            <w:pPr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sz w:val="24"/>
                <w:szCs w:val="24"/>
              </w:rPr>
              <w:t>Matters Arising</w:t>
            </w:r>
            <w:r w:rsidRPr="4FFB2E20" w:rsidR="4FFB2E20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 - 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:rsidR="4FFB2E20" w:rsidP="4FFB2E20" w:rsidRDefault="4FFB2E20" w14:paraId="30F73F20" w14:textId="6EBC4906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Members of the sub-committees will be circulated by the Clerk.</w:t>
            </w:r>
          </w:p>
          <w:p w:rsidRPr="006D480E" w:rsidR="00763B2A" w:rsidP="6778AAAA" w:rsidRDefault="00763B2A" w14:paraId="4FD67CEE" w14:textId="28DDFED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4FFB2E20" w14:paraId="37DFA7DB" w14:textId="77777777">
        <w:trPr>
          <w:trHeight w:val="288"/>
        </w:trPr>
        <w:tc>
          <w:tcPr>
            <w:tcW w:w="930" w:type="dxa"/>
            <w:tcMar/>
          </w:tcPr>
          <w:p w:rsidRPr="00A236E1" w:rsidR="00A21E75" w:rsidP="26D1B1A7" w:rsidRDefault="004C148C" w14:paraId="3AED9B09" w14:textId="6A09824C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110/23</w:t>
            </w:r>
          </w:p>
        </w:tc>
        <w:tc>
          <w:tcPr>
            <w:tcW w:w="8842" w:type="dxa"/>
            <w:tcMar/>
          </w:tcPr>
          <w:p w:rsidRPr="00A236E1" w:rsidR="005B3AFC" w:rsidP="00A21E75" w:rsidRDefault="005B3AFC" w14:paraId="5E7BCCD8" w14:textId="573AAB44">
            <w:pPr>
              <w:rPr>
                <w:rFonts w:ascii="Garamond" w:hAnsi="Garamond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4</w:t>
            </w:r>
            <w:r w:rsidRPr="21395ED4" w:rsidR="21395ED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 September 2023 were approved as a true and 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>accurate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480E90B4">
            <w:pPr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Proposer: Clark</w:t>
            </w:r>
          </w:p>
          <w:p w:rsidR="0048538E" w:rsidP="00830071" w:rsidRDefault="0048538E" w14:paraId="7C3A4E9F" w14:textId="00195A1E">
            <w:pPr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Seconded: Hayes</w:t>
            </w:r>
          </w:p>
          <w:p w:rsidRPr="00A236E1" w:rsidR="00AC6E11" w:rsidP="21395ED4" w:rsidRDefault="0000641F" w14:paraId="645D2975" w14:textId="039A4F9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Pr="00A236E1" w:rsidR="00AC6E11" w:rsidP="21395ED4" w:rsidRDefault="0000641F" w14:paraId="63E734C0" w14:textId="2D71A1B9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Pr="00A236E1" w:rsidR="00A21E75" w:rsidTr="4FFB2E20" w14:paraId="40C5648A" w14:textId="77777777">
        <w:trPr>
          <w:trHeight w:val="735"/>
        </w:trPr>
        <w:tc>
          <w:tcPr>
            <w:tcW w:w="930" w:type="dxa"/>
            <w:tcMar/>
          </w:tcPr>
          <w:p w:rsidRPr="00A236E1" w:rsidR="00A21E75" w:rsidP="26D1B1A7" w:rsidRDefault="004C148C" w14:paraId="1A374AF0" w14:textId="1D4DFB6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111/23</w:t>
            </w:r>
          </w:p>
        </w:tc>
        <w:tc>
          <w:tcPr>
            <w:tcW w:w="8842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4FFB2E20" w:rsidRDefault="00253471" w14:paraId="64E42A83" w14:textId="29426C15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– The village hall report was noted.</w:t>
            </w:r>
          </w:p>
          <w:p w:rsidR="00BD334E" w:rsidP="4FFB2E20" w:rsidRDefault="00BD334E" w14:paraId="150A762D" w14:textId="35303828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 Primary School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– no issues raised.</w:t>
            </w:r>
          </w:p>
          <w:p w:rsidR="4FFB2E20" w:rsidP="4FFB2E20" w:rsidRDefault="4FFB2E20" w14:paraId="464BAA9D" w14:textId="4DDFAB86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Village Show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– Councillor Wilson updated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regarding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the village show. A questionnaire will be circulated to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determine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the future of the show and encourage volunteers /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entrants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Pr="00A236E1" w:rsidR="00DC72DD" w:rsidP="4FFB2E20" w:rsidRDefault="00DC72DD" w14:paraId="4D048093" w14:textId="7BBED8D2">
            <w:pPr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  <w:r w:rsidRPr="4FFB2E20" w:rsidR="4FFB2E20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None.</w:t>
            </w:r>
          </w:p>
        </w:tc>
      </w:tr>
      <w:tr w:rsidRPr="00A236E1" w:rsidR="000F3F4F" w:rsidTr="4FFB2E20" w14:paraId="2600886C" w14:textId="77777777">
        <w:trPr>
          <w:trHeight w:val="288"/>
        </w:trPr>
        <w:tc>
          <w:tcPr>
            <w:tcW w:w="930" w:type="dxa"/>
            <w:tcMar/>
          </w:tcPr>
          <w:p w:rsidRPr="00DD5148" w:rsidR="000F3F4F" w:rsidP="26D1B1A7" w:rsidRDefault="004C148C" w14:paraId="6FAED381" w14:textId="6C04C55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112/23</w:t>
            </w:r>
          </w:p>
        </w:tc>
        <w:tc>
          <w:tcPr>
            <w:tcW w:w="8842" w:type="dxa"/>
            <w:tcMar/>
          </w:tcPr>
          <w:p w:rsidRPr="00DD5148" w:rsidR="001D0583" w:rsidP="4FFB2E20" w:rsidRDefault="000F3F4F" w14:paraId="20F4DFBF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Planning Applications</w:t>
            </w: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00B575B7" w:rsidP="4FFB2E20" w:rsidRDefault="00B575B7" w14:paraId="3F37CD67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  <w:p w:rsidRPr="003A4795" w:rsidR="003A4795" w:rsidP="4FFB2E20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4FFB2E20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743"/>
              <w:gridCol w:w="2460"/>
            </w:tblGrid>
            <w:tr w:rsidR="003B6224" w:rsidTr="4FFB2E20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4FFB2E20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43" w:type="dxa"/>
                  <w:tcMar/>
                </w:tcPr>
                <w:p w:rsidR="003A4795" w:rsidP="4FFB2E20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460" w:type="dxa"/>
                  <w:tcMar/>
                </w:tcPr>
                <w:p w:rsidR="003A4795" w:rsidP="4FFB2E20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:rsidTr="4FFB2E20" w14:paraId="1C7690AE" w14:textId="77777777">
              <w:trPr>
                <w:trHeight w:val="366"/>
              </w:trPr>
              <w:tc>
                <w:tcPr>
                  <w:tcW w:w="3435" w:type="dxa"/>
                  <w:tcMar/>
                </w:tcPr>
                <w:p w:rsidRPr="00623600" w:rsidR="004C148C" w:rsidP="4FFB2E20" w:rsidRDefault="004C148C" w14:paraId="547CF35C" w14:textId="2BC4F89C">
                  <w:pPr>
                    <w:pStyle w:val="NoSpacing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None.</w:t>
                  </w:r>
                </w:p>
              </w:tc>
              <w:tc>
                <w:tcPr>
                  <w:tcW w:w="2743" w:type="dxa"/>
                  <w:tcMar/>
                </w:tcPr>
                <w:p w:rsidRPr="00623600" w:rsidR="004C148C" w:rsidP="4FFB2E20" w:rsidRDefault="004C148C" w14:paraId="5890FBF1" w14:textId="314FB8B8">
                  <w:pPr>
                    <w:pStyle w:val="NoSpacing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460" w:type="dxa"/>
                  <w:tcMar/>
                </w:tcPr>
                <w:p w:rsidRPr="00623600" w:rsidR="004C148C" w:rsidP="4FFB2E20" w:rsidRDefault="00162C44" w14:paraId="4D1E3F7E" w14:textId="4BB838D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Pr="00A36B88" w:rsidR="00A36B88" w:rsidP="4FFB2E20" w:rsidRDefault="00A36B88" w14:paraId="5967FA70" w14:textId="77777777">
            <w:pPr>
              <w:pStyle w:val="ListParagraph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Pr="003B6224" w:rsidR="00152E21" w:rsidP="4FFB2E20" w:rsidRDefault="00152E21" w14:paraId="61DD249A" w14:textId="15CBFD05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4FFB2E20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4FFB2E20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4FFB2E20" w:rsidRDefault="003B6224" w14:paraId="6FC1406F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4FFB2E20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0093532B" w:rsidTr="4FFB2E20" w14:paraId="5F63A7AC" w14:textId="77777777">
              <w:trPr>
                <w:trHeight w:val="1958"/>
              </w:trPr>
              <w:tc>
                <w:tcPr>
                  <w:tcW w:w="3734" w:type="dxa"/>
                  <w:tcMar/>
                </w:tcPr>
                <w:p w:rsidRPr="003A3787" w:rsidR="0093532B" w:rsidP="4FFB2E20" w:rsidRDefault="00000000" w14:paraId="0C2C8CE4" w14:textId="77777777">
                  <w:pPr>
                    <w:rPr>
                      <w:rFonts w:ascii="Garamond" w:hAnsi="Garamond"/>
                      <w:color w:val="auto"/>
                      <w:sz w:val="24"/>
                      <w:szCs w:val="24"/>
                    </w:rPr>
                  </w:pPr>
                  <w:hyperlink r:id="R2f170554ecf846f0">
                    <w:r w:rsidRPr="4FFB2E20" w:rsidR="4FFB2E20">
                      <w:rPr>
                        <w:rStyle w:val="Hyperlink"/>
                        <w:rFonts w:ascii="Garamond" w:hAnsi="Garamond"/>
                        <w:color w:val="auto"/>
                        <w:sz w:val="24"/>
                        <w:szCs w:val="24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Pr="003A3787" w:rsidR="0093532B" w:rsidP="4FFB2E20" w:rsidRDefault="0093532B" w14:paraId="2425BC7B" w14:textId="77777777">
                  <w:pPr>
                    <w:pStyle w:val="metainfo"/>
                    <w:spacing w:before="0" w:beforeAutospacing="off" w:after="0" w:afterAutospacing="off"/>
                    <w:rPr>
                      <w:rFonts w:ascii="Garamond" w:hAnsi="Garamond"/>
                      <w:color w:val="auto"/>
                    </w:rPr>
                  </w:pPr>
                  <w:r w:rsidRPr="4FFB2E20" w:rsidR="4FFB2E20">
                    <w:rPr>
                      <w:rFonts w:ascii="Garamond" w:hAnsi="Garamond"/>
                      <w:color w:val="auto"/>
                    </w:rPr>
                    <w:t>Ref. No: 22/01467/STVAR</w:t>
                  </w:r>
                </w:p>
                <w:p w:rsidR="0093532B" w:rsidP="4FFB2E20" w:rsidRDefault="0093532B" w14:paraId="5E357FC0" w14:textId="77777777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Pr="003A3787" w:rsidR="0093532B" w:rsidP="4FFB2E20" w:rsidRDefault="0093532B" w14:paraId="56BC7042" w14:textId="0017036D">
                  <w:pPr>
                    <w:pStyle w:val="address"/>
                    <w:spacing w:before="0" w:beforeAutospacing="off" w:after="0" w:afterAutospacing="off"/>
                    <w:rPr>
                      <w:rFonts w:ascii="Garamond" w:hAnsi="Garamond"/>
                      <w:color w:val="auto"/>
                    </w:rPr>
                  </w:pPr>
                  <w:r w:rsidRPr="4FFB2E20" w:rsidR="4FFB2E20">
                    <w:rPr>
                      <w:rFonts w:ascii="Garamond" w:hAnsi="Garamond"/>
                      <w:color w:val="auto"/>
                    </w:rPr>
                    <w:t xml:space="preserve">Land South </w:t>
                  </w:r>
                  <w:r w:rsidRPr="4FFB2E20" w:rsidR="4FFB2E20">
                    <w:rPr>
                      <w:rFonts w:ascii="Garamond" w:hAnsi="Garamond"/>
                      <w:color w:val="auto"/>
                    </w:rPr>
                    <w:t>of</w:t>
                  </w:r>
                  <w:r w:rsidRPr="4FFB2E20" w:rsidR="4FFB2E20">
                    <w:rPr>
                      <w:rFonts w:ascii="Garamond" w:hAnsi="Garamond"/>
                      <w:color w:val="auto"/>
                    </w:rPr>
                    <w:t xml:space="preserve"> Southfield Farmhouse 17 Pulham Lane </w:t>
                  </w:r>
                  <w:r w:rsidRPr="4FFB2E20" w:rsidR="4FFB2E20">
                    <w:rPr>
                      <w:rFonts w:ascii="Garamond" w:hAnsi="Garamond"/>
                      <w:color w:val="auto"/>
                    </w:rPr>
                    <w:t>Wetwang</w:t>
                  </w:r>
                  <w:r w:rsidRPr="4FFB2E20" w:rsidR="4FFB2E20">
                    <w:rPr>
                      <w:rFonts w:ascii="Garamond" w:hAnsi="Garamond"/>
                      <w:color w:val="auto"/>
                    </w:rPr>
                    <w:t xml:space="preserve"> East Riding of Yorkshire YO25 9XT</w:t>
                  </w:r>
                </w:p>
                <w:p w:rsidRPr="00C41483" w:rsidR="0093532B" w:rsidP="4FFB2E20" w:rsidRDefault="0093532B" w14:paraId="4572CCB4" w14:textId="77777777">
                  <w:pPr>
                    <w:rPr>
                      <w:rFonts w:ascii="Garamond" w:hAnsi="Garamond" w:eastAsia="Times New Roman" w:cs="Varela Round"/>
                      <w:color w:val="auto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Pr="00C41483" w:rsidR="0093532B" w:rsidP="4FFB2E20" w:rsidRDefault="00452170" w14:paraId="6023FB11" w14:textId="6A9BED2E">
                  <w:pPr>
                    <w:pStyle w:val="ListParagraph"/>
                    <w:ind w:left="0"/>
                    <w:rPr>
                      <w:rFonts w:ascii="Garamond" w:hAnsi="Garamond"/>
                      <w:color w:val="auto"/>
                    </w:rPr>
                  </w:pPr>
                  <w:r w:rsidRPr="4FFB2E20" w:rsidR="4FFB2E20">
                    <w:rPr>
                      <w:rFonts w:ascii="Garamond" w:hAnsi="Garamond"/>
                      <w:color w:val="auto"/>
                    </w:rPr>
                    <w:t>Pending Consideration.</w:t>
                  </w:r>
                </w:p>
              </w:tc>
            </w:tr>
            <w:tr w:rsidR="68884ABA" w:rsidTr="4FFB2E20" w14:paraId="4C7DFDD8">
              <w:trPr>
                <w:trHeight w:val="1958"/>
              </w:trPr>
              <w:tc>
                <w:tcPr>
                  <w:tcW w:w="3734" w:type="dxa"/>
                  <w:tcMar/>
                </w:tcPr>
                <w:p w:rsidR="68884ABA" w:rsidP="4FFB2E20" w:rsidRDefault="68884ABA" w14:paraId="50EA9088" w14:textId="54656429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Erection of 4 </w:t>
                  </w: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detached bungalows</w:t>
                  </w:r>
                </w:p>
                <w:p w:rsidR="68884ABA" w:rsidP="4FFB2E20" w:rsidRDefault="68884ABA" w14:paraId="6FB4D416" w14:textId="7ED5C50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23/01301/PLF</w:t>
                  </w:r>
                </w:p>
                <w:p w:rsidR="68884ABA" w:rsidP="4FFB2E20" w:rsidRDefault="68884ABA" w14:paraId="30D08F4D" w14:textId="7AD58B04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  <w:p w:rsidR="68884ABA" w:rsidP="4FFB2E20" w:rsidRDefault="68884ABA" w14:paraId="02A3A0A4" w14:textId="2EC8E6A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727" w:type="dxa"/>
                  <w:tcMar/>
                </w:tcPr>
                <w:p w:rsidR="68884ABA" w:rsidP="4FFB2E20" w:rsidRDefault="68884ABA" w14:paraId="7F1A3C35" w14:textId="275DBB99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Land North Of</w:t>
                  </w:r>
                </w:p>
                <w:p w:rsidR="68884ABA" w:rsidP="4FFB2E20" w:rsidRDefault="68884ABA" w14:paraId="1C0ECBF3" w14:textId="174E766B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Black Swan Inn 2</w:t>
                  </w:r>
                </w:p>
                <w:p w:rsidR="68884ABA" w:rsidP="4FFB2E20" w:rsidRDefault="68884ABA" w14:paraId="2F9D45F3" w14:textId="36E2B78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Main Street</w:t>
                  </w:r>
                </w:p>
                <w:p w:rsidR="68884ABA" w:rsidP="4FFB2E20" w:rsidRDefault="68884ABA" w14:paraId="4F5BF0CC" w14:textId="77147EC6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Wetwang</w:t>
                  </w: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East</w:t>
                  </w:r>
                </w:p>
                <w:p w:rsidR="68884ABA" w:rsidP="4FFB2E20" w:rsidRDefault="68884ABA" w14:paraId="659340F3" w14:textId="0544E25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Riding of</w:t>
                  </w:r>
                </w:p>
                <w:p w:rsidR="68884ABA" w:rsidP="4FFB2E20" w:rsidRDefault="68884ABA" w14:paraId="028D5A70" w14:textId="60F0DFF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YorkshireYO25</w:t>
                  </w:r>
                </w:p>
                <w:p w:rsidR="68884ABA" w:rsidP="4FFB2E20" w:rsidRDefault="68884ABA" w14:paraId="514C02F0" w14:textId="40D5B54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9XJ</w:t>
                  </w:r>
                </w:p>
                <w:p w:rsidR="68884ABA" w:rsidP="4FFB2E20" w:rsidRDefault="68884ABA" w14:paraId="2B5BB5BD" w14:textId="4E51C6B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8884ABA" w:rsidP="4FFB2E20" w:rsidRDefault="68884ABA" w14:paraId="7C2CA5A7" w14:textId="192F313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  <w:tr w:rsidR="6778AAAA" w:rsidTr="4FFB2E20" w14:paraId="708B1681">
              <w:trPr>
                <w:trHeight w:val="1958"/>
              </w:trPr>
              <w:tc>
                <w:tcPr>
                  <w:tcW w:w="3734" w:type="dxa"/>
                  <w:tcMar/>
                </w:tcPr>
                <w:p w:rsidR="6778AAAA" w:rsidP="4FFB2E20" w:rsidRDefault="6778AAAA" w14:paraId="7396585F" w14:textId="612E4EC9">
                  <w:pPr>
                    <w:pStyle w:val="NoSpacing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 xml:space="preserve"> Conversion of one dwelling into two dwellings including installation of a door to the front and installation of a window to rear at first floor level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23/01073/PLF</w:t>
                  </w:r>
                </w:p>
              </w:tc>
              <w:tc>
                <w:tcPr>
                  <w:tcW w:w="2727" w:type="dxa"/>
                  <w:tcMar/>
                </w:tcPr>
                <w:p w:rsidR="6778AAAA" w:rsidP="4FFB2E20" w:rsidRDefault="6778AAAA" w14:paraId="5E2F9216" w14:textId="46092191">
                  <w:pPr>
                    <w:pStyle w:val="NoSpacing"/>
                    <w:rPr>
                      <w:rFonts w:ascii="Garamond" w:hAnsi="Garamond" w:eastAsia="Garamond" w:cs="Garamond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Bit Of 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A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 View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33 Main Street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Wetwang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East Riding 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Of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 Yorkshire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YO25 9XL</w:t>
                  </w:r>
                </w:p>
              </w:tc>
              <w:tc>
                <w:tcPr>
                  <w:tcW w:w="2068" w:type="dxa"/>
                  <w:tcMar/>
                </w:tcPr>
                <w:p w:rsidR="6778AAAA" w:rsidP="4FFB2E20" w:rsidRDefault="6778AAAA" w14:paraId="7735BCAE" w14:textId="396EF98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</w:tbl>
          <w:p w:rsidRPr="00DD5148" w:rsidR="001536CD" w:rsidP="4FFB2E20" w:rsidRDefault="001536CD" w14:paraId="6D385ACE" w14:textId="63A062A8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4FFB2E20" w14:paraId="7AFDDECA" w14:textId="77777777">
        <w:trPr>
          <w:trHeight w:val="273"/>
        </w:trPr>
        <w:tc>
          <w:tcPr>
            <w:tcW w:w="930" w:type="dxa"/>
            <w:tcMar/>
          </w:tcPr>
          <w:p w:rsidRPr="00DD5148" w:rsidR="00E86929" w:rsidP="00E86929" w:rsidRDefault="00E86929" w14:paraId="0B4CAAEC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26D1B1A7" w:rsidRDefault="004C148C" w14:paraId="1745DF34" w14:textId="6D3AF77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113/23</w:t>
            </w:r>
          </w:p>
        </w:tc>
        <w:tc>
          <w:tcPr>
            <w:tcW w:w="8842" w:type="dxa"/>
            <w:tcMar/>
          </w:tcPr>
          <w:p w:rsidRPr="00DD5148" w:rsidR="00E86929" w:rsidP="4FFB2E20" w:rsidRDefault="00E86929" w14:paraId="37E26EC7" w14:textId="77777777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</w:p>
          <w:p w:rsidRPr="00DD5148" w:rsidR="00E86929" w:rsidP="4FFB2E20" w:rsidRDefault="00E86929" w14:paraId="04C0AC2D" w14:textId="6E6BB29F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6778AAAA" w:rsidP="4FFB2E20" w:rsidRDefault="6778AAAA" w14:paraId="37D2005D" w14:textId="6AEC4AC7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Memorial bench proposals were discussed, and the applicant will be contacted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regarding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the outcome. Clerk to write to tenants with unkempt plots to request they are tidied.</w:t>
            </w:r>
          </w:p>
          <w:p w:rsidR="004213C5" w:rsidP="4FFB2E20" w:rsidRDefault="00E86929" w14:paraId="70AA9000" w14:textId="6A70E78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Burial Ground – on-going. Clerk to request quotation for replacement fencing and gate into the extension.</w:t>
            </w:r>
          </w:p>
          <w:p w:rsidR="00E56C43" w:rsidP="4FFB2E20" w:rsidRDefault="00E56C43" w14:paraId="142228CE" w14:textId="09F2A04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Playing Field (Station Hill) – no issues.</w:t>
            </w:r>
          </w:p>
          <w:p w:rsidRPr="00E22C51" w:rsidR="00555C9B" w:rsidP="4FFB2E20" w:rsidRDefault="00E86929" w14:paraId="65FBDE38" w14:textId="00506EF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Community Park – RoSPA inspection has taken place – no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further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actions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Pr="00DD5148" w:rsidR="00E86929" w:rsidP="4FFB2E20" w:rsidRDefault="00E86929" w14:paraId="63AC75D5" w14:textId="6D441FC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on-going. ERYC to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provide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quotation for power source and Christmas lights.</w:t>
            </w:r>
          </w:p>
          <w:p w:rsidR="004F7A88" w:rsidP="4FFB2E20" w:rsidRDefault="00A50516" w14:paraId="6BF103EB" w14:textId="0B068A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Village Pond – no issues. Clerk to request details of lighting installation.</w:t>
            </w:r>
          </w:p>
          <w:p w:rsidRPr="007E2FAC" w:rsidR="004E7BC2" w:rsidP="4FFB2E20" w:rsidRDefault="004E7BC2" w14:paraId="039B61A6" w14:textId="55B55E62">
            <w:pPr>
              <w:pStyle w:val="Normal"/>
              <w:ind w:left="0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4FFB2E20" w14:paraId="1C99C763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036FC340" w:rsidRDefault="004C148C" w14:paraId="1086086B" w14:textId="14B3829E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114/23</w:t>
            </w:r>
          </w:p>
        </w:tc>
        <w:tc>
          <w:tcPr>
            <w:tcW w:w="8842" w:type="dxa"/>
            <w:tcMar/>
          </w:tcPr>
          <w:p w:rsidR="38803A24" w:rsidP="6778AAAA" w:rsidRDefault="38803A24" w14:paraId="41A0A529" w14:textId="25CF7FE1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</w:t>
            </w: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60AEA3F5">
            <w:pPr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Proposed: Dixon</w:t>
            </w:r>
          </w:p>
          <w:p w:rsidRPr="00A236E1" w:rsidR="00E86929" w:rsidP="00E86929" w:rsidRDefault="00E86929" w14:paraId="360BA7AB" w14:textId="40B10CC1">
            <w:pPr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Seconded: Clark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4FFB2E20" w14:paraId="34E5C21F" w14:textId="77777777">
        <w:trPr>
          <w:trHeight w:val="288"/>
        </w:trPr>
        <w:tc>
          <w:tcPr>
            <w:tcW w:w="930" w:type="dxa"/>
            <w:tcMar/>
          </w:tcPr>
          <w:p w:rsidRPr="00DD5148" w:rsidR="00E86929" w:rsidP="26D1B1A7" w:rsidRDefault="004C148C" w14:paraId="2CBE3103" w14:textId="1EA2C9F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115/23</w:t>
            </w:r>
          </w:p>
        </w:tc>
        <w:tc>
          <w:tcPr>
            <w:tcW w:w="8842" w:type="dxa"/>
            <w:tcMar/>
          </w:tcPr>
          <w:p w:rsidRPr="00BB69E7" w:rsidR="00E86929" w:rsidP="00E86929" w:rsidRDefault="00E86929" w14:paraId="6B797231" w14:textId="1DFEB83C">
            <w:pPr>
              <w:rPr>
                <w:rFonts w:ascii="Garamond" w:hAnsi="Garamond"/>
                <w:sz w:val="24"/>
                <w:szCs w:val="24"/>
              </w:rPr>
            </w:pPr>
            <w:r w:rsidRPr="38803A24" w:rsidR="38803A2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38803A24" w:rsidRDefault="00CB5D4B" w14:paraId="27752089" w14:textId="799C84A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 xml:space="preserve">It was agreed that the Clerk would 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>approach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 xml:space="preserve"> ERYC 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>regarding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 xml:space="preserve"> the marking of yellow lines on the 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>en</w:t>
            </w:r>
            <w:r w:rsidRPr="4FFB2E20" w:rsidR="4FFB2E20">
              <w:rPr>
                <w:rFonts w:ascii="Garamond" w:hAnsi="Garamond"/>
                <w:sz w:val="24"/>
                <w:szCs w:val="24"/>
              </w:rPr>
              <w:t>trance to Station Hill.</w:t>
            </w:r>
          </w:p>
          <w:p w:rsidRPr="006A027D" w:rsidR="00CB5D4B" w:rsidP="38803A24" w:rsidRDefault="00CB5D4B" w14:paraId="563E739A" w14:textId="54742A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sz w:val="24"/>
                <w:szCs w:val="24"/>
              </w:rPr>
              <w:t>It was agreed that the Christmas trees would be ordered for Main Street and delivery requested for 17/18 November.</w:t>
            </w:r>
          </w:p>
        </w:tc>
      </w:tr>
      <w:tr w:rsidRPr="00A236E1" w:rsidR="00E86929" w:rsidTr="4FFB2E20" w14:paraId="738AF11F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6D54FDAB" w14:textId="3EA3E88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116/23</w:t>
            </w:r>
          </w:p>
        </w:tc>
        <w:tc>
          <w:tcPr>
            <w:tcW w:w="8842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C35FA2" w:rsidR="005724A9" w:rsidP="00C35FA2" w:rsidRDefault="00821D5D" w14:paraId="36409975" w14:textId="65FEF89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68884ABA" w:rsidR="68884ABA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Pr="00A6284A" w:rsidR="00262D5F" w:rsidP="21395ED4" w:rsidRDefault="00262D5F" w14:paraId="63E56CC7" w14:textId="4EDDEF7E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4FFB2E20" w14:paraId="150FAC57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34512281" w14:textId="75BED17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117/23</w:t>
            </w:r>
          </w:p>
        </w:tc>
        <w:tc>
          <w:tcPr>
            <w:tcW w:w="8842" w:type="dxa"/>
            <w:tcMar/>
          </w:tcPr>
          <w:p w:rsidRPr="003909B1" w:rsidR="00E86929" w:rsidP="00E86929" w:rsidRDefault="00E86929" w14:paraId="27A58C9A" w14:textId="15C3B019">
            <w:pPr>
              <w:rPr>
                <w:rFonts w:ascii="Garamond" w:hAnsi="Garamond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>– The next ordinary meeting of Wetwang Parish Council will be held on Monday 13</w:t>
            </w:r>
            <w:r w:rsidRPr="21395ED4" w:rsidR="21395ED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 November 2023.</w:t>
            </w:r>
          </w:p>
        </w:tc>
      </w:tr>
    </w:tbl>
    <w:p w:rsidRPr="00A236E1" w:rsidR="0006000B" w:rsidP="036FC340" w:rsidRDefault="00ED4C17" w14:paraId="3711D1A9" w14:textId="7676422A">
      <w:pPr>
        <w:pStyle w:val="Normal"/>
        <w:rPr>
          <w:rFonts w:ascii="Garamond" w:hAnsi="Garamond"/>
          <w:sz w:val="24"/>
          <w:szCs w:val="24"/>
        </w:rPr>
      </w:pPr>
      <w:r w:rsidRPr="4FFB2E20" w:rsidR="4FFB2E20">
        <w:rPr>
          <w:rFonts w:ascii="Garamond" w:hAnsi="Garamond"/>
          <w:sz w:val="24"/>
          <w:szCs w:val="24"/>
        </w:rPr>
        <w:t>The meeting closed at 8.58pm.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dAyAYCv4" int2:invalidationBookmarkName="" int2:hashCode="Ti7NJW35r8RV85" int2:id="qWz7N9GU">
      <int2:state int2:type="AugLoop_Text_Critique" int2:value="Rejected"/>
    </int2:bookmark>
    <int2:bookmark int2:bookmarkName="_Int_sMLSbq5J" int2:invalidationBookmarkName="" int2:hashCode="Ti7NJW35r8RV85" int2:id="Yd1kkiS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36FC340"/>
    <w:rsid w:val="14D863CA"/>
    <w:rsid w:val="21395ED4"/>
    <w:rsid w:val="26D1B1A7"/>
    <w:rsid w:val="38803A24"/>
    <w:rsid w:val="444D8985"/>
    <w:rsid w:val="4FFB2E20"/>
    <w:rsid w:val="66D6D0CA"/>
    <w:rsid w:val="6778AAAA"/>
    <w:rsid w:val="68884ABA"/>
    <w:rsid w:val="6BC657FA"/>
    <w:rsid w:val="718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2f170554ecf846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16</revision>
  <lastPrinted>2023-01-09T16:14:00.0000000Z</lastPrinted>
  <dcterms:created xsi:type="dcterms:W3CDTF">2023-06-27T20:51:40.7168785Z</dcterms:created>
  <dcterms:modified xsi:type="dcterms:W3CDTF">2023-11-09T15:21:09.6087158Z</dcterms:modified>
</coreProperties>
</file>